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jc w:val="center"/>
        <w:rPr>
          <w:rFonts w:ascii="微软雅黑" w:hAnsi="微软雅黑" w:eastAsia="微软雅黑"/>
          <w:color w:val="303030"/>
          <w:sz w:val="28"/>
          <w:szCs w:val="28"/>
        </w:rPr>
      </w:pPr>
      <w:r>
        <w:rPr>
          <w:rFonts w:hint="eastAsia" w:ascii="微软雅黑" w:hAnsi="微软雅黑" w:eastAsia="微软雅黑"/>
          <w:color w:val="303030"/>
          <w:sz w:val="28"/>
          <w:szCs w:val="28"/>
        </w:rPr>
        <w:t>学生</w:t>
      </w:r>
      <w:r>
        <w:rPr>
          <w:rFonts w:ascii="微软雅黑" w:hAnsi="微软雅黑" w:eastAsia="微软雅黑"/>
          <w:color w:val="303030"/>
          <w:sz w:val="28"/>
          <w:szCs w:val="28"/>
        </w:rPr>
        <w:t>简易使用手册</w:t>
      </w:r>
    </w:p>
    <w:p>
      <w:pPr>
        <w:spacing w:line="276" w:lineRule="auto"/>
        <w:jc w:val="center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编制时间</w:t>
      </w:r>
      <w:r>
        <w:rPr>
          <w:rFonts w:hint="eastAsia" w:ascii="微软雅黑" w:hAnsi="微软雅黑" w:eastAsia="微软雅黑"/>
        </w:rPr>
        <w:t>：2</w:t>
      </w:r>
      <w:r>
        <w:rPr>
          <w:rFonts w:ascii="微软雅黑" w:hAnsi="微软雅黑" w:eastAsia="微软雅黑"/>
        </w:rPr>
        <w:t>019年</w:t>
      </w:r>
      <w:r>
        <w:rPr>
          <w:rFonts w:hint="eastAsia" w:ascii="微软雅黑" w:hAnsi="微软雅黑" w:eastAsia="微软雅黑"/>
        </w:rPr>
        <w:t>1</w:t>
      </w:r>
      <w:r>
        <w:rPr>
          <w:rFonts w:hint="eastAsia" w:ascii="微软雅黑" w:hAnsi="微软雅黑" w:eastAsia="微软雅黑"/>
          <w:lang w:val="en-US" w:eastAsia="zh-CN"/>
        </w:rPr>
        <w:t>2</w:t>
      </w:r>
      <w:r>
        <w:rPr>
          <w:rFonts w:hint="eastAsia" w:ascii="微软雅黑" w:hAnsi="微软雅黑" w:eastAsia="微软雅黑"/>
        </w:rPr>
        <w:t>月</w:t>
      </w:r>
    </w:p>
    <w:sdt>
      <w:sdtPr>
        <w:rPr>
          <w:rFonts w:asciiTheme="minorHAnsi" w:hAnsiTheme="minorHAnsi" w:eastAsiaTheme="minorEastAsia" w:cstheme="minorBidi"/>
          <w:b w:val="0"/>
          <w:color w:val="auto"/>
          <w:kern w:val="2"/>
          <w:sz w:val="21"/>
          <w:szCs w:val="22"/>
          <w:lang w:val="zh-CN"/>
        </w:rPr>
        <w:id w:val="1651405760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20"/>
            <w:jc w:val="center"/>
            <w:rPr>
              <w:b w:val="0"/>
              <w:color w:val="auto"/>
            </w:rPr>
          </w:pPr>
          <w:r>
            <w:rPr>
              <w:b w:val="0"/>
              <w:color w:val="auto"/>
              <w:lang w:val="zh-CN"/>
            </w:rPr>
            <w:t>目录</w:t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_Toc29370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河北大学毕设系统操作简要步骤</w:t>
          </w:r>
          <w:r>
            <w:tab/>
          </w:r>
          <w:r>
            <w:fldChar w:fldCharType="begin"/>
          </w:r>
          <w:r>
            <w:instrText xml:space="preserve"> PAGEREF _Toc29370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_Toc13499 </w:instrText>
          </w:r>
          <w:r>
            <w:rPr>
              <w:bCs/>
              <w:lang w:val="zh-CN"/>
            </w:rPr>
            <w:fldChar w:fldCharType="separate"/>
          </w:r>
          <w:r>
            <w:t>第</w:t>
          </w:r>
          <w:r>
            <w:rPr>
              <w:rFonts w:hint="eastAsia"/>
            </w:rPr>
            <w:t xml:space="preserve">1部分 </w:t>
          </w:r>
          <w:r>
            <w:t>学生使用流程</w:t>
          </w:r>
          <w:r>
            <w:tab/>
          </w:r>
          <w:r>
            <w:fldChar w:fldCharType="begin"/>
          </w:r>
          <w:r>
            <w:instrText xml:space="preserve"> PAGEREF _Toc13499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_Toc8471 </w:instrText>
          </w:r>
          <w:r>
            <w:rPr>
              <w:bCs/>
              <w:lang w:val="zh-CN"/>
            </w:rPr>
            <w:fldChar w:fldCharType="separate"/>
          </w:r>
          <w:r>
            <w:t>第2</w:t>
          </w:r>
          <w:r>
            <w:rPr>
              <w:rFonts w:hint="eastAsia"/>
            </w:rPr>
            <w:t>部分 学生</w:t>
          </w:r>
          <w:r>
            <w:t>功能操作指南</w:t>
          </w:r>
          <w:r>
            <w:tab/>
          </w:r>
          <w:r>
            <w:fldChar w:fldCharType="begin"/>
          </w:r>
          <w:r>
            <w:instrText xml:space="preserve"> PAGEREF _Toc8471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_Toc4889 </w:instrText>
          </w:r>
          <w:r>
            <w:rPr>
              <w:bCs/>
              <w:lang w:val="zh-CN"/>
            </w:rPr>
            <w:fldChar w:fldCharType="separate"/>
          </w:r>
          <w:r>
            <w:t>2.1</w:t>
          </w:r>
          <w:r>
            <w:rPr>
              <w:rFonts w:hint="eastAsia"/>
            </w:rPr>
            <w:t>学生</w:t>
          </w:r>
          <w:r>
            <w:t>登录和账号管理</w:t>
          </w:r>
          <w:r>
            <w:tab/>
          </w:r>
          <w:r>
            <w:fldChar w:fldCharType="begin"/>
          </w:r>
          <w:r>
            <w:instrText xml:space="preserve"> PAGEREF _Toc4889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_Toc27968 </w:instrText>
          </w:r>
          <w:r>
            <w:rPr>
              <w:bCs/>
              <w:lang w:val="zh-CN"/>
            </w:rPr>
            <w:fldChar w:fldCharType="separate"/>
          </w:r>
          <w:r>
            <w:t>2.1.1登录系统</w:t>
          </w:r>
          <w:r>
            <w:tab/>
          </w:r>
          <w:r>
            <w:fldChar w:fldCharType="begin"/>
          </w:r>
          <w:r>
            <w:instrText xml:space="preserve"> PAGEREF _Toc27968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_Toc3576 </w:instrText>
          </w:r>
          <w:r>
            <w:rPr>
              <w:bCs/>
              <w:lang w:val="zh-CN"/>
            </w:rPr>
            <w:fldChar w:fldCharType="separate"/>
          </w:r>
          <w:r>
            <w:t>2.1.2首次登录强制修改密码</w:t>
          </w:r>
          <w:r>
            <w:tab/>
          </w:r>
          <w:r>
            <w:fldChar w:fldCharType="begin"/>
          </w:r>
          <w:r>
            <w:instrText xml:space="preserve"> PAGEREF _Toc3576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_Toc7997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.1</w:t>
          </w:r>
          <w:r>
            <w:rPr>
              <w:rFonts w:hint="eastAsia"/>
            </w:rPr>
            <w:t>.3</w:t>
          </w:r>
          <w:r>
            <w:t>用户设置</w:t>
          </w:r>
          <w:r>
            <w:tab/>
          </w:r>
          <w:r>
            <w:fldChar w:fldCharType="begin"/>
          </w:r>
          <w:r>
            <w:instrText xml:space="preserve"> PAGEREF _Toc7997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_Toc20052 </w:instrText>
          </w:r>
          <w:r>
            <w:rPr>
              <w:bCs/>
              <w:lang w:val="zh-CN"/>
            </w:rPr>
            <w:fldChar w:fldCharType="separate"/>
          </w:r>
          <w:r>
            <w:t>2.2</w:t>
          </w:r>
          <w:r>
            <w:rPr>
              <w:rFonts w:hint="eastAsia"/>
            </w:rPr>
            <w:t>报选题</w:t>
          </w:r>
          <w:r>
            <w:t>和达成师生双选关系</w:t>
          </w:r>
          <w:r>
            <w:tab/>
          </w:r>
          <w:r>
            <w:fldChar w:fldCharType="begin"/>
          </w:r>
          <w:r>
            <w:instrText xml:space="preserve"> PAGEREF _Toc20052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_Toc8393 </w:instrText>
          </w:r>
          <w:r>
            <w:rPr>
              <w:bCs/>
              <w:lang w:val="zh-CN"/>
            </w:rPr>
            <w:fldChar w:fldCharType="separate"/>
          </w:r>
          <w:r>
            <w:t>2.2.1</w:t>
          </w:r>
          <w:r>
            <w:rPr>
              <w:rFonts w:hint="eastAsia"/>
            </w:rPr>
            <w:t>学生申报</w:t>
          </w:r>
          <w:r>
            <w:rPr>
              <w:rFonts w:hint="eastAsia"/>
              <w:lang w:val="en-US" w:eastAsia="zh-CN"/>
            </w:rPr>
            <w:t>题目</w:t>
          </w:r>
          <w:r>
            <w:tab/>
          </w:r>
          <w:r>
            <w:fldChar w:fldCharType="begin"/>
          </w:r>
          <w:r>
            <w:instrText xml:space="preserve"> PAGEREF _Toc8393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_Toc12524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.2.2选题分析</w:t>
          </w:r>
          <w:r>
            <w:tab/>
          </w:r>
          <w:r>
            <w:fldChar w:fldCharType="begin"/>
          </w:r>
          <w:r>
            <w:instrText xml:space="preserve"> PAGEREF _Toc12524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_Toc13805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.2.3学生选题</w:t>
          </w:r>
          <w:r>
            <w:tab/>
          </w:r>
          <w:r>
            <w:fldChar w:fldCharType="begin"/>
          </w:r>
          <w:r>
            <w:instrText xml:space="preserve"> PAGEREF _Toc13805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_Toc25310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.3</w:t>
          </w:r>
          <w:r>
            <w:rPr>
              <w:rFonts w:hint="eastAsia"/>
            </w:rPr>
            <w:t>查看</w:t>
          </w:r>
          <w:r>
            <w:t>任务书</w:t>
          </w:r>
          <w:r>
            <w:tab/>
          </w:r>
          <w:r>
            <w:fldChar w:fldCharType="begin"/>
          </w:r>
          <w:r>
            <w:instrText xml:space="preserve"> PAGEREF _Toc25310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_Toc21405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.4提交开题报告</w:t>
          </w:r>
          <w:r>
            <w:tab/>
          </w:r>
          <w:r>
            <w:fldChar w:fldCharType="begin"/>
          </w:r>
          <w:r>
            <w:instrText xml:space="preserve"> PAGEREF _Toc21405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_Toc22614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.5提交其他过程文档</w:t>
          </w:r>
          <w:r>
            <w:tab/>
          </w:r>
          <w:r>
            <w:fldChar w:fldCharType="begin"/>
          </w:r>
          <w:r>
            <w:instrText xml:space="preserve"> PAGEREF _Toc22614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_Toc19518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.5.1</w:t>
          </w:r>
          <w:r>
            <w:rPr>
              <w:rFonts w:hint="eastAsia"/>
            </w:rPr>
            <w:t>提交</w:t>
          </w:r>
          <w:r>
            <w:t>外文译文</w:t>
          </w:r>
          <w:r>
            <w:tab/>
          </w:r>
          <w:r>
            <w:fldChar w:fldCharType="begin"/>
          </w:r>
          <w:r>
            <w:instrText xml:space="preserve"> PAGEREF _Toc19518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_Toc5506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.5.2提交指导</w:t>
          </w:r>
          <w:r>
            <w:rPr>
              <w:rFonts w:hint="eastAsia"/>
              <w:lang w:val="en-US" w:eastAsia="zh-CN"/>
            </w:rPr>
            <w:t>过程</w:t>
          </w:r>
          <w:r>
            <w:t>记录</w:t>
          </w:r>
          <w:r>
            <w:tab/>
          </w:r>
          <w:r>
            <w:fldChar w:fldCharType="begin"/>
          </w:r>
          <w:r>
            <w:instrText xml:space="preserve"> PAGEREF _Toc5506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_Toc2349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.6提交毕业设计</w:t>
          </w:r>
          <w:r>
            <w:rPr>
              <w:rFonts w:hint="eastAsia"/>
            </w:rPr>
            <w:t>（论文）各版本文档</w:t>
          </w:r>
          <w:r>
            <w:tab/>
          </w:r>
          <w:r>
            <w:fldChar w:fldCharType="begin"/>
          </w:r>
          <w:r>
            <w:instrText xml:space="preserve"> PAGEREF _Toc2349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_Toc17520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.7参与答辩</w:t>
          </w:r>
          <w:r>
            <w:tab/>
          </w:r>
          <w:r>
            <w:fldChar w:fldCharType="begin"/>
          </w:r>
          <w:r>
            <w:instrText xml:space="preserve"> PAGEREF _Toc17520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_Toc460 </w:instrText>
          </w:r>
          <w:r>
            <w:rPr>
              <w:bCs/>
              <w:lang w:val="zh-CN"/>
            </w:rPr>
            <w:fldChar w:fldCharType="separate"/>
          </w:r>
          <w:r>
            <w:t>2.8查看成绩</w:t>
          </w:r>
          <w:r>
            <w:tab/>
          </w:r>
          <w:r>
            <w:fldChar w:fldCharType="begin"/>
          </w:r>
          <w:r>
            <w:instrText xml:space="preserve"> PAGEREF _Toc460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_Toc9851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2</w:t>
          </w:r>
          <w:r>
            <w:t>.9导出文档</w:t>
          </w:r>
          <w:r>
            <w:tab/>
          </w:r>
          <w:r>
            <w:fldChar w:fldCharType="begin"/>
          </w:r>
          <w:r>
            <w:instrText xml:space="preserve"> PAGEREF _Toc9851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>
          <w:r>
            <w:rPr>
              <w:bCs/>
              <w:lang w:val="zh-CN"/>
            </w:rPr>
            <w:fldChar w:fldCharType="end"/>
          </w:r>
        </w:p>
      </w:sdtContent>
    </w:sdt>
    <w:p>
      <w:pPr>
        <w:spacing w:line="276" w:lineRule="auto"/>
      </w:pPr>
    </w:p>
    <w:p>
      <w:pPr>
        <w:spacing w:line="276" w:lineRule="auto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/>
        <w:jc w:val="center"/>
      </w:pPr>
      <w:bookmarkStart w:id="0" w:name="_Toc535187107"/>
      <w:bookmarkStart w:id="1" w:name="_Toc512421534"/>
      <w:bookmarkStart w:id="2" w:name="_Toc29370"/>
      <w:r>
        <w:rPr>
          <w:rFonts w:hint="eastAsia"/>
        </w:rPr>
        <w:t>河北大学毕设系统</w:t>
      </w:r>
      <w:bookmarkEnd w:id="0"/>
      <w:bookmarkEnd w:id="1"/>
      <w:r>
        <w:rPr>
          <w:rFonts w:hint="eastAsia"/>
        </w:rPr>
        <w:t>操作简要步骤</w:t>
      </w:r>
      <w:bookmarkEnd w:id="2"/>
    </w:p>
    <w:p/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导师申报课题方式</w:t>
      </w:r>
    </w:p>
    <w:p>
      <w:pPr>
        <w:pStyle w:val="21"/>
        <w:numPr>
          <w:ilvl w:val="0"/>
          <w:numId w:val="2"/>
        </w:numPr>
        <w:ind w:firstLineChars="0"/>
        <w:rPr>
          <w:b/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b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指导老师报题——专业负责人审核（无需审核学院可无此步）——院长审核（如无可忽略）——课题通过——学生选题——指导老师确认——双选关系成立；</w:t>
      </w:r>
      <w:r>
        <w:rPr>
          <w:color w:val="FF0000"/>
        </w:rPr>
        <w:t xml:space="preserve"> 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  <w:r>
        <w:rPr>
          <w:rFonts w:hint="eastAsia"/>
          <w:color w:val="FF0000"/>
          <w:lang w:val="en-US" w:eastAsia="zh-CN"/>
        </w:rPr>
        <w:t xml:space="preserve"> 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过程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记录、毕业论文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检测稿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等）——</w:t>
      </w:r>
      <w:r>
        <w:rPr>
          <w:rFonts w:hint="eastAsia"/>
        </w:rPr>
        <w:t>指导老师审核</w:t>
      </w:r>
    </w:p>
    <w:p>
      <w:pPr>
        <w:ind w:firstLine="560"/>
      </w:pPr>
      <w:r>
        <w:rPr>
          <w:rFonts w:hint="eastAsia"/>
        </w:rPr>
        <w:t xml:space="preserve">       过程文档管理阶段修改只需指导老师返回修改即可。</w:t>
      </w:r>
    </w:p>
    <w:p>
      <w:pPr>
        <w:pStyle w:val="21"/>
        <w:numPr>
          <w:ilvl w:val="0"/>
          <w:numId w:val="2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教秘或专业负责人安排评阅专家——评阅学生——给成绩与审核意见</w:t>
      </w:r>
    </w:p>
    <w:p>
      <w:pPr>
        <w:ind w:firstLine="560"/>
      </w:pPr>
      <w:r>
        <w:rPr>
          <w:rFonts w:hint="eastAsia"/>
        </w:rPr>
        <w:t xml:space="preserve">       教秘或专业负责人安排答辩小组——线下答辩——学生提交答辩记录——答 辩秘书录入答辩成绩与评语</w:t>
      </w:r>
    </w:p>
    <w:p>
      <w:pPr>
        <w:ind w:firstLine="560"/>
      </w:pPr>
    </w:p>
    <w:p>
      <w:pPr>
        <w:ind w:firstLine="560"/>
      </w:pPr>
    </w:p>
    <w:p>
      <w:pPr>
        <w:numPr>
          <w:ilvl w:val="0"/>
          <w:numId w:val="1"/>
        </w:numPr>
        <w:rPr>
          <w:b/>
          <w:bCs/>
        </w:rPr>
      </w:pPr>
      <w:r>
        <w:rPr>
          <w:rFonts w:hint="eastAsia"/>
          <w:b/>
          <w:bCs/>
        </w:rPr>
        <w:t>学生申报课题方式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师生双选过程阶段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  <w:rPr>
          <w:color w:val="FF0000"/>
        </w:rPr>
      </w:pPr>
      <w:r>
        <w:rPr>
          <w:rFonts w:hint="eastAsia"/>
        </w:rPr>
        <w:t>学生申报课题——指导老师审核——专业负责人审核（如无可忽略）——院长审核（如无可忽略）——双选关系成立。</w:t>
      </w:r>
    </w:p>
    <w:p>
      <w:pPr>
        <w:ind w:firstLine="560"/>
      </w:pPr>
      <w:r>
        <w:rPr>
          <w:rFonts w:hint="eastAsia"/>
        </w:rPr>
        <w:t xml:space="preserve">       学生提交任务书——指导老师审核。</w:t>
      </w:r>
    </w:p>
    <w:p>
      <w:pPr>
        <w:ind w:firstLine="560"/>
      </w:pPr>
      <w:r>
        <w:rPr>
          <w:rFonts w:hint="eastAsia"/>
        </w:rPr>
        <w:t xml:space="preserve">       课题修改：最终审核人点允许修改，则申报人可修改一次</w:t>
      </w:r>
    </w:p>
    <w:p>
      <w:pPr>
        <w:ind w:firstLine="560"/>
      </w:pPr>
      <w:r>
        <w:rPr>
          <w:rFonts w:hint="eastAsia"/>
        </w:rPr>
        <w:t xml:space="preserve">       任务书修改：最终审核人（指导老师）点允许修改，则申报人可修改一次</w:t>
      </w:r>
    </w:p>
    <w:p>
      <w:pPr>
        <w:ind w:firstLine="560"/>
      </w:pP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过程文档管理阶段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学生提交过程文档（开题报告、外文译文、指导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过程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记录、毕业论文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检测稿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等）——</w:t>
      </w:r>
      <w:r>
        <w:rPr>
          <w:rFonts w:hint="eastAsia"/>
        </w:rPr>
        <w:t>指导老师审核</w:t>
      </w:r>
    </w:p>
    <w:p>
      <w:pPr>
        <w:pStyle w:val="21"/>
        <w:ind w:left="1280" w:firstLine="0" w:firstLineChars="0"/>
      </w:pPr>
      <w:r>
        <w:rPr>
          <w:rFonts w:hint="eastAsia"/>
        </w:rPr>
        <w:t>过程文档管理阶段修改只需指导老师返回修改即可。</w:t>
      </w:r>
    </w:p>
    <w:p>
      <w:pPr>
        <w:pStyle w:val="21"/>
        <w:numPr>
          <w:ilvl w:val="0"/>
          <w:numId w:val="3"/>
        </w:numPr>
        <w:ind w:firstLineChars="0"/>
        <w:rPr>
          <w:color w:val="FF0000"/>
        </w:rPr>
      </w:pPr>
      <w:r>
        <w:rPr>
          <w:rFonts w:hint="eastAsia"/>
          <w:b/>
          <w:bCs/>
          <w:color w:val="FF0000"/>
        </w:rPr>
        <w:t>评阅答辩</w:t>
      </w:r>
      <w:r>
        <w:rPr>
          <w:rFonts w:hint="eastAsia"/>
          <w:color w:val="FF0000"/>
        </w:rPr>
        <w:t>：</w:t>
      </w:r>
    </w:p>
    <w:p>
      <w:pPr>
        <w:pStyle w:val="21"/>
        <w:ind w:left="1280" w:firstLine="0" w:firstLineChars="0"/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指导老师</w:t>
      </w:r>
      <w:r>
        <w:rPr>
          <w:rFonts w:hint="eastAsia"/>
        </w:rPr>
        <w:t>评阅学生——给成绩与审核意见</w:t>
      </w:r>
    </w:p>
    <w:p>
      <w:pPr>
        <w:pStyle w:val="21"/>
        <w:ind w:left="1280" w:firstLine="0" w:firstLineChars="0"/>
      </w:pPr>
      <w:r>
        <w:rPr>
          <w:rFonts w:hint="eastAsia"/>
        </w:rPr>
        <w:t>教秘或专业负责人安排评阅专家——评阅学生——给成绩与审核意见</w:t>
      </w:r>
    </w:p>
    <w:p>
      <w:pPr>
        <w:ind w:firstLine="1260"/>
      </w:pPr>
      <w:r>
        <w:rPr>
          <w:rFonts w:hint="eastAsia"/>
        </w:rPr>
        <w:t>教秘或专业负责人安排答辩小组——线下答辩——学生提交答辩记录——答 辩秘书录入答辩成绩与评语</w:t>
      </w:r>
    </w:p>
    <w:p>
      <w:pPr>
        <w:ind w:firstLine="1260"/>
      </w:pPr>
    </w:p>
    <w:p>
      <w:pPr>
        <w:pStyle w:val="2"/>
        <w:spacing w:before="312" w:after="156" w:line="276" w:lineRule="auto"/>
      </w:pPr>
      <w:bookmarkStart w:id="3" w:name="_Toc13499"/>
      <w:r>
        <w:t>第</w:t>
      </w:r>
      <w:r>
        <w:rPr>
          <w:rFonts w:hint="eastAsia"/>
        </w:rPr>
        <w:t xml:space="preserve">1部分 </w:t>
      </w:r>
      <w:r>
        <w:t>学生使用流程</w:t>
      </w:r>
      <w:bookmarkEnd w:id="3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“</w:t>
      </w:r>
      <w:r>
        <w:rPr>
          <w:color w:val="303030"/>
        </w:rPr>
        <w:t>学生</w:t>
      </w:r>
      <w:r>
        <w:rPr>
          <w:rFonts w:hint="eastAsia"/>
          <w:color w:val="303030"/>
        </w:rPr>
        <w:t>”</w:t>
      </w:r>
      <w:r>
        <w:rPr>
          <w:color w:val="303030"/>
        </w:rPr>
        <w:t>角色使用流程主要包括以下内容</w:t>
      </w:r>
      <w:r>
        <w:rPr>
          <w:rFonts w:hint="eastAsia"/>
          <w:color w:val="303030"/>
        </w:rPr>
        <w:t>：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→→→1登录系统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→→→2报选题和达成师生双选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→→→3查看任务书（即为提交任务书）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→→→4提交开题报告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→→→5提交其他过程文档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→→→6提交毕业设计（论文）各版本文档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→→→7参与答辩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→→→8查看成绩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→→→9</w:t>
      </w:r>
      <w:r>
        <w:rPr>
          <w:color w:val="303030"/>
        </w:rPr>
        <w:t>导出文档</w:t>
      </w:r>
    </w:p>
    <w:p>
      <w:pPr>
        <w:spacing w:line="276" w:lineRule="auto"/>
        <w:ind w:firstLine="420" w:firstLineChars="200"/>
        <w:rPr>
          <w:color w:val="303030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spacing w:before="312" w:after="156" w:line="276" w:lineRule="auto"/>
      </w:pPr>
      <w:bookmarkStart w:id="4" w:name="_Toc8471"/>
      <w:r>
        <w:t>第2</w:t>
      </w:r>
      <w:r>
        <w:rPr>
          <w:rFonts w:hint="eastAsia"/>
        </w:rPr>
        <w:t>部分 学生</w:t>
      </w:r>
      <w:r>
        <w:t>功能操作指南</w:t>
      </w:r>
      <w:bookmarkEnd w:id="4"/>
    </w:p>
    <w:p>
      <w:pPr>
        <w:pStyle w:val="3"/>
      </w:pPr>
      <w:bookmarkStart w:id="5" w:name="_Toc4889"/>
      <w:r>
        <w:t>2.1</w:t>
      </w:r>
      <w:r>
        <w:rPr>
          <w:rFonts w:hint="eastAsia"/>
        </w:rPr>
        <w:t>学生</w:t>
      </w:r>
      <w:r>
        <w:t>登录和账号管理</w:t>
      </w:r>
      <w:bookmarkEnd w:id="5"/>
    </w:p>
    <w:p>
      <w:pPr>
        <w:pStyle w:val="4"/>
        <w:spacing w:before="156" w:after="156"/>
      </w:pPr>
      <w:bookmarkStart w:id="6" w:name="_Toc27968"/>
      <w:r>
        <w:t>2.1.1登录系统</w:t>
      </w:r>
      <w:bookmarkEnd w:id="6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</w:t>
      </w:r>
      <w:r>
        <w:rPr>
          <w:rFonts w:hint="eastAsia"/>
          <w:color w:val="303030"/>
          <w:lang w:val="en-US" w:eastAsia="zh-CN"/>
        </w:rPr>
        <w:t>打开网址：</w:t>
      </w:r>
      <w:r>
        <w:rPr>
          <w:rFonts w:hint="eastAsia"/>
          <w:color w:val="303030"/>
        </w:rPr>
        <w:fldChar w:fldCharType="begin"/>
      </w:r>
      <w:r>
        <w:rPr>
          <w:rFonts w:hint="eastAsia"/>
          <w:color w:val="303030"/>
        </w:rPr>
        <w:instrText xml:space="preserve"> HYPERLINK "http://hbu.co.cnki.net/" </w:instrText>
      </w:r>
      <w:r>
        <w:rPr>
          <w:rFonts w:hint="eastAsia"/>
          <w:color w:val="303030"/>
        </w:rPr>
        <w:fldChar w:fldCharType="separate"/>
      </w:r>
      <w:r>
        <w:rPr>
          <w:rStyle w:val="13"/>
          <w:rFonts w:hint="eastAsia"/>
          <w:color w:val="303030"/>
        </w:rPr>
        <w:t>http://hbu.co.cnki.net/</w:t>
      </w:r>
      <w:r>
        <w:rPr>
          <w:rFonts w:hint="eastAsia"/>
          <w:color w:val="303030"/>
        </w:rPr>
        <w:fldChar w:fldCharType="end"/>
      </w:r>
      <w:r>
        <w:rPr>
          <w:rFonts w:hint="eastAsia"/>
          <w:color w:val="303030"/>
          <w:lang w:val="en-US" w:eastAsia="zh-CN"/>
        </w:rPr>
        <w:t xml:space="preserve"> </w:t>
      </w:r>
      <w:r>
        <w:rPr>
          <w:rFonts w:hint="eastAsia"/>
          <w:color w:val="303030"/>
        </w:rPr>
        <w:t>打开登录页面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2步：选择登录方式（账号密码登录或者已绑定微信登录）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3步：输入账号密码或者使用微信“扫一扫”功能，登录系统（选“学生”类型）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4步：若双学位的学生，选择专业进入系统（单专业学生无须选择，直接进入系统）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color w:val="303030"/>
        </w:rPr>
        <w:drawing>
          <wp:inline distT="0" distB="0" distL="0" distR="0">
            <wp:extent cx="5274310" cy="2871470"/>
            <wp:effectExtent l="0" t="0" r="889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spacing w:before="156" w:after="156"/>
      </w:pPr>
      <w:bookmarkStart w:id="7" w:name="_Toc3576"/>
      <w:r>
        <w:t>2.1.2首次登录强制修改密码</w:t>
      </w:r>
      <w:bookmarkEnd w:id="7"/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1步：使用初始账号密码登录成功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2步：修改密码（须与初始密码不同），成功后会自动退出系统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3步：使用新修改的密码重新登录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303030"/>
        </w:rPr>
        <w:t>*</w:t>
      </w:r>
      <w:r>
        <w:rPr>
          <w:color w:val="303030"/>
        </w:rPr>
        <w:t>非首次登录无须该项操作</w:t>
      </w:r>
    </w:p>
    <w:p>
      <w:pPr>
        <w:pStyle w:val="4"/>
        <w:spacing w:before="156" w:after="156"/>
      </w:pPr>
      <w:bookmarkStart w:id="8" w:name="_Toc7997"/>
      <w:r>
        <w:rPr>
          <w:rFonts w:hint="eastAsia"/>
        </w:rPr>
        <w:t>2</w:t>
      </w:r>
      <w:r>
        <w:t>.1</w:t>
      </w:r>
      <w:r>
        <w:rPr>
          <w:rFonts w:hint="eastAsia"/>
        </w:rPr>
        <w:t>.3</w:t>
      </w:r>
      <w:r>
        <w:t>用户设置</w:t>
      </w:r>
      <w:bookmarkEnd w:id="8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用户设置可以进行密码修改和进行个人信息维护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958975" cy="1053465"/>
            <wp:effectExtent l="76200" t="57150" r="79375" b="51435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78246" cy="106399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9" w:name="_Toc20052"/>
      <w:r>
        <w:t>2.2</w:t>
      </w:r>
      <w:r>
        <w:rPr>
          <w:rFonts w:hint="eastAsia"/>
        </w:rPr>
        <w:t>报选题</w:t>
      </w:r>
      <w:r>
        <w:t>和达成师生双选关系</w:t>
      </w:r>
      <w:bookmarkEnd w:id="9"/>
    </w:p>
    <w:p>
      <w:pPr>
        <w:pStyle w:val="4"/>
        <w:spacing w:before="156" w:after="156"/>
        <w:rPr>
          <w:rFonts w:hint="eastAsia" w:eastAsia="宋体"/>
          <w:lang w:val="en-US" w:eastAsia="zh-CN"/>
        </w:rPr>
      </w:pPr>
      <w:bookmarkStart w:id="10" w:name="_Toc8393"/>
      <w:r>
        <w:t>2.2.1</w:t>
      </w:r>
      <w:r>
        <w:rPr>
          <w:rFonts w:hint="eastAsia"/>
        </w:rPr>
        <w:t>学生申报</w:t>
      </w:r>
      <w:r>
        <w:rPr>
          <w:rFonts w:hint="eastAsia"/>
          <w:lang w:val="en-US" w:eastAsia="zh-CN"/>
        </w:rPr>
        <w:t>题目</w:t>
      </w:r>
      <w:bookmarkEnd w:id="10"/>
    </w:p>
    <w:p>
      <w:pPr>
        <w:pStyle w:val="5"/>
        <w:ind w:firstLine="420"/>
      </w:pPr>
      <w:r>
        <w:rPr>
          <w:rFonts w:hint="eastAsia"/>
        </w:rPr>
        <w:t>2</w:t>
      </w:r>
      <w:r>
        <w:t>.2.1.1</w:t>
      </w:r>
      <w:r>
        <w:rPr>
          <w:rFonts w:hint="eastAsia"/>
          <w:lang w:val="en-US" w:eastAsia="zh-CN"/>
        </w:rPr>
        <w:t>题目</w:t>
      </w:r>
      <w:r>
        <w:t>申报操作步骤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1步：选择打开“师生双选管理-学生申报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”页面或者从首页的“申报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”进入页面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2179320" cy="792480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2538095" cy="830580"/>
            <wp:effectExtent l="0" t="0" r="6985" b="762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2步：点击列表左上角的“录入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”，打开录入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页面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114300" distR="114300">
            <wp:extent cx="2720975" cy="984885"/>
            <wp:effectExtent l="0" t="0" r="6985" b="57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3步：</w:t>
      </w:r>
      <w:r>
        <w:rPr>
          <w:rFonts w:asciiTheme="minorEastAsia" w:hAnsiTheme="minorEastAsia"/>
          <w:color w:val="303030"/>
        </w:rPr>
        <w:t>输入课题题目信息</w:t>
      </w:r>
      <w:r>
        <w:rPr>
          <w:rFonts w:hint="eastAsia" w:asciiTheme="minorEastAsia" w:hAnsiTheme="minorEastAsia"/>
          <w:color w:val="303030"/>
        </w:rPr>
        <w:t>、</w:t>
      </w:r>
      <w:r>
        <w:rPr>
          <w:rFonts w:asciiTheme="minorEastAsia" w:hAnsiTheme="minorEastAsia"/>
          <w:color w:val="303030"/>
        </w:rPr>
        <w:t>选择课题所属专业</w:t>
      </w:r>
      <w:r>
        <w:rPr>
          <w:rFonts w:hint="eastAsia" w:asciiTheme="minorEastAsia" w:hAnsiTheme="minorEastAsia"/>
          <w:color w:val="303030"/>
        </w:rPr>
        <w:t>以及题目性质（题目类型和题目来源），确认后点击“下一步”继续</w:t>
      </w:r>
    </w:p>
    <w:p>
      <w:pPr>
        <w:spacing w:line="276" w:lineRule="auto"/>
        <w:ind w:firstLine="420" w:firstLineChars="200"/>
        <w:rPr>
          <w:color w:val="303030"/>
        </w:rPr>
      </w:pPr>
      <w:r>
        <w:drawing>
          <wp:inline distT="0" distB="0" distL="114300" distR="114300">
            <wp:extent cx="5025390" cy="2209800"/>
            <wp:effectExtent l="0" t="0" r="381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539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*题目类型和题目来源是管理员提前已经设置好的可选项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*若配置了“</w:t>
      </w:r>
      <w:r>
        <w:rPr>
          <w:rFonts w:hint="eastAsia" w:asciiTheme="minorEastAsia" w:hAnsiTheme="minorEastAsia"/>
          <w:b/>
          <w:color w:val="303030"/>
        </w:rPr>
        <w:t>课题题目排重</w:t>
      </w:r>
      <w:r>
        <w:rPr>
          <w:rFonts w:hint="eastAsia" w:asciiTheme="minorEastAsia" w:hAnsiTheme="minorEastAsia"/>
          <w:color w:val="303030"/>
        </w:rPr>
        <w:t>”功能，将在此处进行判定和提示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第4</w:t>
      </w:r>
      <w:r>
        <w:rPr>
          <w:rFonts w:hint="eastAsia"/>
          <w:color w:val="303030"/>
        </w:rPr>
        <w:t>步：输入其他课题相关内容（该部分内容支持自定义，学生所见页面内容可能会有所不同，请注意）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4355465" cy="14808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8287" cy="148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第5</w:t>
      </w:r>
      <w:r>
        <w:rPr>
          <w:rFonts w:hint="eastAsia"/>
          <w:color w:val="303030"/>
        </w:rPr>
        <w:t>步：选择1位教师作为该课题的“指导教师”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695575" cy="1873250"/>
            <wp:effectExtent l="76200" t="76200" r="73025" b="8255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7372" cy="188144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*若要选择学生所在院系不同的院系的教师作为指导教师，可以下拉筛选其他院系的教师并选择为该课题的指导教师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*可选是否设置“第二导师”，以及是否需要添加附件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第6</w:t>
      </w:r>
      <w:r>
        <w:rPr>
          <w:rFonts w:hint="eastAsia"/>
          <w:color w:val="303030"/>
        </w:rPr>
        <w:t>步：选择“提交</w:t>
      </w:r>
      <w:r>
        <w:rPr>
          <w:rFonts w:hint="eastAsia"/>
          <w:color w:val="303030"/>
          <w:lang w:val="en-US" w:eastAsia="zh-CN"/>
        </w:rPr>
        <w:t>题目</w:t>
      </w:r>
      <w:r>
        <w:rPr>
          <w:rFonts w:hint="eastAsia"/>
          <w:color w:val="303030"/>
        </w:rPr>
        <w:t>”或“保存草稿”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615440" cy="312420"/>
            <wp:effectExtent l="0" t="0" r="0" b="762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*学生申报的课题，其</w:t>
      </w:r>
      <w:r>
        <w:rPr>
          <w:rFonts w:hint="eastAsia" w:asciiTheme="minorEastAsia" w:hAnsiTheme="minorEastAsia"/>
          <w:b/>
          <w:color w:val="303030"/>
        </w:rPr>
        <w:t>所属专业</w:t>
      </w:r>
      <w:r>
        <w:rPr>
          <w:rFonts w:hint="eastAsia" w:asciiTheme="minorEastAsia" w:hAnsiTheme="minorEastAsia"/>
          <w:color w:val="303030"/>
        </w:rPr>
        <w:t>默认为学生所在院系，无须单设</w:t>
      </w:r>
    </w:p>
    <w:p>
      <w:pPr>
        <w:pStyle w:val="5"/>
        <w:ind w:firstLine="420"/>
      </w:pPr>
      <w:r>
        <w:rPr>
          <w:rFonts w:hint="eastAsia"/>
        </w:rPr>
        <w:t>2</w:t>
      </w:r>
      <w:r>
        <w:t>.2.1.2特别说明</w:t>
      </w:r>
    </w:p>
    <w:p>
      <w:pPr>
        <w:spacing w:line="276" w:lineRule="auto"/>
        <w:ind w:firstLine="420" w:firstLineChars="200"/>
        <w:rPr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color w:val="303030"/>
        </w:rPr>
        <w:t>特别说明</w:t>
      </w:r>
      <w:r>
        <w:rPr>
          <w:rFonts w:hint="eastAsia"/>
          <w:color w:val="303030"/>
        </w:rPr>
        <w:t>1：保存草稿和正式提交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*系统提供了2种提交方式，学生可以选择暂时将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有关信息保存为草稿，也可以直接正式提交</w:t>
      </w:r>
    </w:p>
    <w:p>
      <w:pPr>
        <w:spacing w:line="276" w:lineRule="auto"/>
        <w:ind w:firstLine="420" w:firstLineChars="200"/>
        <w:rPr>
          <w:rFonts w:hint="eastAsia" w:asciiTheme="minorEastAsia" w:hAnsiTheme="minorEastAsia" w:eastAsiaTheme="minorEastAsia"/>
          <w:color w:val="303030"/>
          <w:lang w:val="en-US" w:eastAsia="zh-CN"/>
        </w:rPr>
      </w:pPr>
      <w:r>
        <w:rPr>
          <w:rFonts w:hint="eastAsia" w:asciiTheme="minorEastAsia" w:hAnsiTheme="minorEastAsia"/>
          <w:color w:val="303030"/>
        </w:rPr>
        <w:t>*保存为草稿：仅学生自己可见，并可以继续进行编辑、修改或完善，不影响其他角色的流程；适用于暂时还未确定的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</w:p>
    <w:p>
      <w:pPr>
        <w:spacing w:line="276" w:lineRule="auto"/>
        <w:ind w:firstLine="420" w:firstLineChars="200"/>
        <w:rPr>
          <w:rFonts w:hint="eastAsia" w:asciiTheme="minorEastAsia" w:hAnsiTheme="minorEastAsia" w:eastAsiaTheme="minorEastAsia"/>
          <w:color w:val="303030"/>
          <w:lang w:val="en-US" w:eastAsia="zh-CN"/>
        </w:rPr>
      </w:pPr>
      <w:r>
        <w:rPr>
          <w:rFonts w:hint="eastAsia" w:asciiTheme="minorEastAsia" w:hAnsiTheme="minorEastAsia"/>
          <w:color w:val="303030"/>
        </w:rPr>
        <w:t>*正式提交：进入毕业设计（论文）的流程中，可能会被审核、退回等；适用于已经确定的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☆</w:t>
      </w:r>
      <w:r>
        <w:rPr>
          <w:rFonts w:hint="eastAsia" w:asciiTheme="minorEastAsia" w:hAnsiTheme="minorEastAsia"/>
          <w:color w:val="303030"/>
        </w:rPr>
        <w:t>特别说明</w:t>
      </w:r>
      <w:r>
        <w:rPr>
          <w:rFonts w:asciiTheme="minorEastAsia" w:hAnsiTheme="minorEastAsia"/>
          <w:color w:val="303030"/>
        </w:rPr>
        <w:t>2</w:t>
      </w:r>
      <w:r>
        <w:rPr>
          <w:rFonts w:hint="eastAsia" w:asciiTheme="minorEastAsia" w:hAnsiTheme="minorEastAsia"/>
          <w:color w:val="303030"/>
        </w:rPr>
        <w:t>：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的修改、删除等操作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提交草稿后，随时可以进行修改（列表操作列显示“草稿”字样以作提示）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正式提交后，在审核前可以自行修改或者删除（此时可以“重选”指导教师）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3097530" cy="274955"/>
            <wp:effectExtent l="76200" t="57150" r="64770" b="4889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10945" cy="29418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80235" cy="386080"/>
            <wp:effectExtent l="57150" t="57150" r="62865" b="520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2474" cy="41136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hint="eastAsia" w:asciiTheme="minorEastAsia" w:hAnsiTheme="minorEastAsia" w:eastAsiaTheme="minorEastAsia"/>
          <w:color w:val="303030"/>
          <w:lang w:val="en-US" w:eastAsia="zh-CN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经过审核，若“审核不通过”，学生只能在原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基础上“修改后再提交”，作为新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hint="eastAsia" w:asciiTheme="minorEastAsia" w:hAnsiTheme="minorEastAsia"/>
          <w:color w:val="303030"/>
          <w:lang w:val="en-US" w:eastAsia="zh-CN"/>
        </w:rPr>
        <w:t>题目</w:t>
      </w:r>
      <w:r>
        <w:rPr>
          <w:rFonts w:hint="eastAsia" w:asciiTheme="minorEastAsia" w:hAnsiTheme="minorEastAsia"/>
          <w:color w:val="303030"/>
        </w:rPr>
        <w:t>经过审核，若“审核通过”，则需要“允许修改”或者“申请修改”方式对课题进行修改操作（根据学校或者院系的设置为准）</w:t>
      </w:r>
    </w:p>
    <w:p>
      <w:pPr>
        <w:pStyle w:val="4"/>
        <w:spacing w:before="156" w:after="156"/>
      </w:pPr>
      <w:bookmarkStart w:id="11" w:name="_Toc12524"/>
      <w:r>
        <w:rPr>
          <w:rFonts w:hint="eastAsia"/>
        </w:rPr>
        <w:t>2</w:t>
      </w:r>
      <w:r>
        <w:t>.2.2选题分析</w:t>
      </w:r>
      <w:bookmarkEnd w:id="1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1步：选择打开“师生双选管理-</w:t>
      </w:r>
      <w:r>
        <w:rPr>
          <w:rFonts w:hint="eastAsia" w:asciiTheme="minorEastAsia" w:hAnsiTheme="minorEastAsia"/>
          <w:color w:val="303030"/>
        </w:rPr>
        <w:t>学生</w:t>
      </w:r>
      <w:r>
        <w:rPr>
          <w:rFonts w:hint="eastAsia"/>
          <w:color w:val="303030"/>
        </w:rPr>
        <w:t>申报课题”页面，或者在学生首页点击“选题分析”打开页面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2005965" cy="1257300"/>
            <wp:effectExtent l="0" t="0" r="5715" b="762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2613660" cy="657860"/>
            <wp:effectExtent l="0" t="0" r="7620" b="1270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2步：点击“选题分析”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hint="eastAsia" w:asciiTheme="minorEastAsia" w:hAnsiTheme="minorEastAsia"/>
          <w:color w:val="303030"/>
        </w:rPr>
        <w:t>第3步：输入“课题题目”和“关键词”，系统自动出具有关的选题分析结果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</w:t>
      </w:r>
      <w:r>
        <w:rPr>
          <w:rFonts w:hint="eastAsia" w:asciiTheme="minorEastAsia" w:hAnsiTheme="minorEastAsia"/>
          <w:color w:val="303030"/>
        </w:rPr>
        <w:t>4步：若需要保存本次分析结果，点击“保存本次分析”即可</w:t>
      </w:r>
    </w:p>
    <w:p>
      <w:pPr>
        <w:pStyle w:val="4"/>
        <w:spacing w:before="156" w:after="156"/>
      </w:pPr>
      <w:bookmarkStart w:id="12" w:name="_Toc13805"/>
      <w:r>
        <w:rPr>
          <w:rFonts w:hint="eastAsia"/>
        </w:rPr>
        <w:t>2</w:t>
      </w:r>
      <w:r>
        <w:t>.2.3学生选题</w:t>
      </w:r>
      <w:bookmarkEnd w:id="12"/>
    </w:p>
    <w:p>
      <w:pPr>
        <w:spacing w:line="276" w:lineRule="auto"/>
        <w:ind w:firstLine="420" w:firstLineChars="200"/>
        <w:rPr>
          <w:rFonts w:asciiTheme="minorEastAsia" w:hAnsiTheme="minorEastAsia"/>
          <w:color w:val="FF0000"/>
        </w:rPr>
      </w:pPr>
      <w:r>
        <w:rPr>
          <w:rFonts w:hint="eastAsia" w:asciiTheme="minorEastAsia" w:hAnsiTheme="minorEastAsia"/>
          <w:color w:val="303030"/>
        </w:rPr>
        <w:t>*根据学校或者院系的设置，学生选题后需要指导教师进行确认，导师确认“通过”才能达成双选关系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步：选择“师生双选管理-学生选题”打开页面，或者在学生首页点击“学生选题”打开页面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2202180" cy="1127760"/>
            <wp:effectExtent l="0" t="0" r="7620" b="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2180" cy="112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682875" cy="647065"/>
            <wp:effectExtent l="0" t="0" r="14605" b="825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8287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步：查看可选课题的列表，在列表中点击“查看”可以打开查看课题详情内容，点击“选择课题”即可选择对应的课题进入待确认的状态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949190" cy="445135"/>
            <wp:effectExtent l="95250" t="57150" r="80010" b="50165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20025" cy="45208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步：选择课题后，学生已选课题列表将会展示学生选择的课题，并展示确认的状态和操作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学生可选几个课题等待指导教师确认</w:t>
      </w:r>
      <w:r>
        <w:rPr>
          <w:rFonts w:hint="eastAsia" w:asciiTheme="minorEastAsia" w:hAnsiTheme="minorEastAsia"/>
          <w:color w:val="303030"/>
        </w:rPr>
        <w:t>，</w:t>
      </w:r>
      <w:r>
        <w:rPr>
          <w:rFonts w:asciiTheme="minorEastAsia" w:hAnsiTheme="minorEastAsia"/>
          <w:color w:val="303030"/>
        </w:rPr>
        <w:t>是由学校或者院系设置的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最终仅能达成</w:t>
      </w:r>
      <w:r>
        <w:rPr>
          <w:rFonts w:hint="eastAsia" w:asciiTheme="minorEastAsia" w:hAnsiTheme="minorEastAsia"/>
          <w:color w:val="303030"/>
        </w:rPr>
        <w:t>1个双选关系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*在指导教师确认之前，学生可“取消选题”，改选其他课题或者采用别的方式报选题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983230" cy="424180"/>
            <wp:effectExtent l="76200" t="57150" r="83820" b="5207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23128" cy="42995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步：指导教师确认后操作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*若指导教师确认为“通过”，则与学生达成双选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若指导教师确认为</w:t>
      </w:r>
      <w:r>
        <w:rPr>
          <w:rFonts w:hint="eastAsia" w:asciiTheme="minorEastAsia" w:hAnsiTheme="minorEastAsia"/>
          <w:color w:val="303030"/>
        </w:rPr>
        <w:t>“不通过”，则学生需要重选或者更改别的方式报选题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994660" cy="610870"/>
            <wp:effectExtent l="76200" t="57150" r="72390" b="5588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0668" cy="62026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3" w:name="_Toc25310"/>
      <w:r>
        <w:rPr>
          <w:rFonts w:hint="eastAsia"/>
        </w:rPr>
        <w:t>2</w:t>
      </w:r>
      <w:r>
        <w:t>.3</w:t>
      </w:r>
      <w:r>
        <w:rPr>
          <w:rFonts w:hint="eastAsia"/>
        </w:rPr>
        <w:t>查看</w:t>
      </w:r>
      <w:r>
        <w:t>任务书</w:t>
      </w:r>
      <w:bookmarkEnd w:id="13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*根据学校或者院系的设置，需要“替指导教师提交任务书内容”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步：选择“师生双选管理-查看任务书”打开页面，或者在学生首页点击“查看任务书”打开页面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1588135" cy="1120140"/>
            <wp:effectExtent l="57150" t="57150" r="50165" b="6096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94017" cy="112406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步：查看任务书的内容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步：学生替指导教师提交任务书，则需要填写任务书的内容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2870835" cy="2052320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84270" cy="206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643380" cy="1370330"/>
            <wp:effectExtent l="76200" t="76200" r="83820" b="7747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73269" cy="1394976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步：提交任务书后，可查看“审核状态”，并且可以在审核前进行修改</w:t>
      </w:r>
    </w:p>
    <w:p>
      <w:pPr>
        <w:pStyle w:val="3"/>
      </w:pPr>
      <w:bookmarkStart w:id="14" w:name="_Toc21405"/>
      <w:r>
        <w:rPr>
          <w:rFonts w:hint="eastAsia"/>
        </w:rPr>
        <w:t>2</w:t>
      </w:r>
      <w:r>
        <w:t>.4提交开题报告</w:t>
      </w:r>
      <w:bookmarkEnd w:id="14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步：选择“过程文档管理-提交开题报告”打开页面，或者在学生首页点击“开题报告”后的“查看详情”打开页面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97355" cy="608330"/>
            <wp:effectExtent l="57150" t="57150" r="55245" b="5842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5910" cy="61526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步：输入内容提交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asciiTheme="minorEastAsia" w:hAnsiTheme="minorEastAsia"/>
          <w:color w:val="303030"/>
        </w:rPr>
        <w:drawing>
          <wp:inline distT="0" distB="0" distL="0" distR="0">
            <wp:extent cx="5274310" cy="2020570"/>
            <wp:effectExtent l="0" t="0" r="8890" b="1143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步：等待指导教师审核，在审核前，学生可以对开题报告的内容进行修改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291590" cy="1257300"/>
            <wp:effectExtent l="57150" t="57150" r="60960" b="5715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96318" cy="1262500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</w:t>
      </w:r>
      <w:r>
        <w:rPr>
          <w:rFonts w:hint="eastAsia" w:asciiTheme="minorEastAsia" w:hAnsiTheme="minorEastAsia"/>
          <w:color w:val="303030"/>
        </w:rPr>
        <w:t>步：根据指导教师审核的情况进行后续操作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要求</w:t>
      </w:r>
      <w:r>
        <w:rPr>
          <w:rFonts w:hint="eastAsia" w:asciiTheme="minorEastAsia" w:hAnsiTheme="minorEastAsia"/>
          <w:color w:val="303030"/>
        </w:rPr>
        <w:t>“返回修改”的，学生需要进行修改后再次提交，仍需要走审核流程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782445" cy="1349375"/>
            <wp:effectExtent l="57150" t="57150" r="65405" b="6032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91433" cy="135654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*指导教师“审核通过”的，表示学生提交的开题报告已经通过了，若需修改，则需要指导老师点击“允许修改”再进行有关操作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811655" cy="1204595"/>
            <wp:effectExtent l="57150" t="57150" r="55245" b="52705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24133" cy="1213261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*若是有其他角色对开题报告内容的批注内容，</w:t>
      </w:r>
      <w:r>
        <w:rPr>
          <w:rFonts w:asciiTheme="minorEastAsia" w:hAnsiTheme="minorEastAsia"/>
          <w:color w:val="303030"/>
        </w:rPr>
        <w:t>学生可以查看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687570" cy="647700"/>
            <wp:effectExtent l="76200" t="57150" r="93980" b="571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51657" cy="65674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22614"/>
      <w:r>
        <w:rPr>
          <w:rFonts w:hint="eastAsia"/>
        </w:rPr>
        <w:t>2</w:t>
      </w:r>
      <w:r>
        <w:t>.5提交其他过程文档</w:t>
      </w:r>
      <w:bookmarkEnd w:id="15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*目前，系统设置的可选使用的“其他过程文档”包括：外文译文、指导记录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*达成师生双选关系后，学生即可提交过程文档</w:t>
      </w:r>
    </w:p>
    <w:p>
      <w:pPr>
        <w:pStyle w:val="4"/>
        <w:spacing w:before="156" w:after="156"/>
      </w:pPr>
      <w:bookmarkStart w:id="16" w:name="_Toc19518"/>
      <w:r>
        <w:rPr>
          <w:rFonts w:hint="eastAsia"/>
        </w:rPr>
        <w:t>2</w:t>
      </w:r>
      <w:r>
        <w:t>.5.1</w:t>
      </w:r>
      <w:r>
        <w:rPr>
          <w:rFonts w:hint="eastAsia"/>
        </w:rPr>
        <w:t>提交</w:t>
      </w:r>
      <w:r>
        <w:t>外文译文</w:t>
      </w:r>
      <w:bookmarkEnd w:id="16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步：选择“过程文档管理-提交外文译文和原件”打开页面，或者在学生首页的“外文译文”栏点击“查看详情”打开页面</w:t>
      </w:r>
    </w:p>
    <w:p>
      <w:pPr>
        <w:tabs>
          <w:tab w:val="left" w:pos="993"/>
        </w:tabs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128135" cy="2019300"/>
            <wp:effectExtent l="0" t="0" r="0" b="1270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43999" cy="2027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步：输入外文译文和原文的内容，完成后提交（审核前，学生可以继续修改提交）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902200" cy="737235"/>
            <wp:effectExtent l="95250" t="57150" r="88900" b="6286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79063" cy="748718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94815" cy="1543050"/>
            <wp:effectExtent l="57150" t="57150" r="57785" b="5715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12421" cy="1558995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步：根据指导教师审核的情况进行后续操作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90370" cy="1120140"/>
            <wp:effectExtent l="57150" t="57150" r="62230" b="6096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9662" cy="113270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</w:t>
      </w:r>
      <w:r>
        <w:rPr>
          <w:rFonts w:hint="eastAsia" w:asciiTheme="minorEastAsia" w:hAnsiTheme="minorEastAsia"/>
          <w:color w:val="303030"/>
        </w:rPr>
        <w:t>查看</w:t>
      </w:r>
      <w:r>
        <w:rPr>
          <w:rFonts w:asciiTheme="minorEastAsia" w:hAnsiTheme="minorEastAsia"/>
          <w:color w:val="303030"/>
        </w:rPr>
        <w:t>内容的批注</w:t>
      </w:r>
    </w:p>
    <w:p>
      <w:pPr>
        <w:pStyle w:val="4"/>
        <w:spacing w:before="156" w:after="156"/>
      </w:pPr>
      <w:bookmarkStart w:id="17" w:name="_Toc5506"/>
      <w:r>
        <w:rPr>
          <w:rFonts w:hint="eastAsia"/>
        </w:rPr>
        <w:t>2</w:t>
      </w:r>
      <w:r>
        <w:t>.5.2提交指导</w:t>
      </w:r>
      <w:r>
        <w:rPr>
          <w:rFonts w:hint="eastAsia"/>
          <w:lang w:val="en-US" w:eastAsia="zh-CN"/>
        </w:rPr>
        <w:t>过程</w:t>
      </w:r>
      <w:r>
        <w:t>记录</w:t>
      </w:r>
      <w:bookmarkEnd w:id="17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</w:t>
      </w:r>
      <w:r>
        <w:rPr>
          <w:rFonts w:hint="eastAsia" w:asciiTheme="minorEastAsia" w:hAnsiTheme="minorEastAsia"/>
          <w:color w:val="303030"/>
          <w:lang w:val="en-US" w:eastAsia="zh-CN"/>
        </w:rPr>
        <w:t>指导</w:t>
      </w:r>
      <w:r>
        <w:rPr>
          <w:rFonts w:hint="eastAsia" w:asciiTheme="minorEastAsia" w:hAnsiTheme="minorEastAsia"/>
          <w:color w:val="303030"/>
        </w:rPr>
        <w:t>指导记录”打开页面，或者在学生首页的“指导</w:t>
      </w:r>
      <w:r>
        <w:rPr>
          <w:rFonts w:hint="eastAsia" w:asciiTheme="minorEastAsia" w:hAnsiTheme="minorEastAsia"/>
          <w:color w:val="303030"/>
          <w:lang w:val="en-US" w:eastAsia="zh-CN"/>
        </w:rPr>
        <w:t>过程</w:t>
      </w:r>
      <w:r>
        <w:rPr>
          <w:rFonts w:hint="eastAsia" w:asciiTheme="minorEastAsia" w:hAnsiTheme="minorEastAsia"/>
          <w:color w:val="303030"/>
        </w:rPr>
        <w:t>记录”栏点击“查看详情”打开页面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114300" distR="114300">
            <wp:extent cx="1897380" cy="104394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步：输入内容提交（提交后审核前，学生可以进行修改）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步：根据指导教师和各级审核的情况进行后续操作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</w:t>
      </w:r>
      <w:r>
        <w:rPr>
          <w:rFonts w:asciiTheme="minorEastAsia" w:hAnsiTheme="minorEastAsia"/>
          <w:color w:val="303030"/>
        </w:rPr>
        <w:t>支持</w:t>
      </w:r>
      <w:r>
        <w:rPr>
          <w:rFonts w:hint="eastAsia" w:asciiTheme="minorEastAsia" w:hAnsiTheme="minorEastAsia"/>
          <w:color w:val="303030"/>
        </w:rPr>
        <w:t>查看</w:t>
      </w:r>
      <w:r>
        <w:rPr>
          <w:rFonts w:asciiTheme="minorEastAsia" w:hAnsiTheme="minorEastAsia"/>
          <w:color w:val="303030"/>
        </w:rPr>
        <w:t>内容的批注</w:t>
      </w:r>
      <w:bookmarkStart w:id="22" w:name="_GoBack"/>
      <w:bookmarkEnd w:id="22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指导记录最少提交两次</w:t>
      </w:r>
    </w:p>
    <w:p>
      <w:pPr>
        <w:pStyle w:val="3"/>
      </w:pPr>
      <w:bookmarkStart w:id="18" w:name="_Toc2349"/>
      <w:r>
        <w:rPr>
          <w:rFonts w:hint="eastAsia"/>
        </w:rPr>
        <w:t>2</w:t>
      </w:r>
      <w:r>
        <w:t>.6提交毕业设计</w:t>
      </w:r>
      <w:r>
        <w:rPr>
          <w:rFonts w:hint="eastAsia"/>
        </w:rPr>
        <w:t>（论文）各版本文档</w:t>
      </w:r>
      <w:bookmarkEnd w:id="18"/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步：选择“过程文档管理-提交</w:t>
      </w:r>
      <w:r>
        <w:rPr>
          <w:rFonts w:hint="eastAsia" w:asciiTheme="minorEastAsia" w:hAnsiTheme="minorEastAsia"/>
          <w:color w:val="303030"/>
          <w:lang w:val="en-US" w:eastAsia="zh-CN"/>
        </w:rPr>
        <w:t>论文检测稿</w:t>
      </w:r>
      <w:r>
        <w:rPr>
          <w:rFonts w:hint="eastAsia" w:asciiTheme="minorEastAsia" w:hAnsiTheme="minorEastAsia"/>
          <w:color w:val="303030"/>
        </w:rPr>
        <w:t>”打开页面，或者在学生首页的“提交</w:t>
      </w:r>
      <w:r>
        <w:rPr>
          <w:rFonts w:hint="eastAsia" w:asciiTheme="minorEastAsia" w:hAnsiTheme="minorEastAsia"/>
          <w:color w:val="303030"/>
          <w:lang w:val="en-US" w:eastAsia="zh-CN"/>
        </w:rPr>
        <w:t>论文检测稿</w:t>
      </w:r>
      <w:r>
        <w:rPr>
          <w:rFonts w:hint="eastAsia" w:asciiTheme="minorEastAsia" w:hAnsiTheme="minorEastAsia"/>
          <w:color w:val="303030"/>
        </w:rPr>
        <w:t>”栏的“查看详情”打开页面</w:t>
      </w:r>
    </w:p>
    <w:p>
      <w:pPr>
        <w:spacing w:line="276" w:lineRule="auto"/>
        <w:ind w:firstLine="420" w:firstLineChars="200"/>
      </w:pPr>
      <w:r>
        <w:drawing>
          <wp:inline distT="0" distB="0" distL="114300" distR="114300">
            <wp:extent cx="1897380" cy="1752600"/>
            <wp:effectExtent l="0" t="0" r="7620" b="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步：输入关键词等内容，添加待上传的毕设（论文）文档，选择是否添加附件或其他内容（比如网址链接等），进行提交（提交后审核前，学生可以进行修改）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131820" cy="486410"/>
            <wp:effectExtent l="76200" t="57150" r="68580" b="6604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7476" cy="49352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303030"/>
        </w:rPr>
        <w:t>*若有需要随同毕业设计（论文）文档一起提交的网址链接、网盘地址等信息，建议在“其他”栏输入内容，并一并提交</w:t>
      </w:r>
    </w:p>
    <w:p>
      <w:pPr>
        <w:spacing w:line="276" w:lineRule="auto"/>
        <w:ind w:firstLine="420" w:firstLineChars="200"/>
      </w:pPr>
      <w:r>
        <w:drawing>
          <wp:inline distT="0" distB="0" distL="0" distR="0">
            <wp:extent cx="3188970" cy="502920"/>
            <wp:effectExtent l="76200" t="57150" r="68580" b="4953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75783" cy="517229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步：根据审核、检测情况进行后续操作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*因学生所在的学校可以设置不同模式的检测方式，学生需要根据学校的设置及当前所处的状态，进行各项操作，包括：修改文档提交、查看检测结果、查看审核结果、提交新的论文等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*检测后，若有对文档内容的批注，学生可以查看</w:t>
      </w:r>
    </w:p>
    <w:p>
      <w:pPr>
        <w:pStyle w:val="3"/>
      </w:pPr>
      <w:bookmarkStart w:id="19" w:name="_Toc17520"/>
      <w:r>
        <w:rPr>
          <w:rFonts w:hint="eastAsia"/>
        </w:rPr>
        <w:t>2</w:t>
      </w:r>
      <w:r>
        <w:t>.7参与答辩</w:t>
      </w:r>
      <w:bookmarkEnd w:id="19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*当安排了学生参与答辩，则需要进行系列操作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步：选择“评审答辩和成绩管理-查看答辩安排”打开页面查看被安排参与的答辩情况，或者从学生首页进入页面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932305" cy="731520"/>
            <wp:effectExtent l="76200" t="57150" r="67945" b="4953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68398" cy="74501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hint="eastAsia" w:asciiTheme="minorEastAsia" w:hAnsiTheme="minorEastAsia"/>
          <w:color w:val="303030"/>
        </w:rPr>
        <w:t>步：线下参加答辩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</w:t>
      </w:r>
      <w:r>
        <w:rPr>
          <w:rFonts w:hint="eastAsia" w:asciiTheme="minorEastAsia" w:hAnsiTheme="minorEastAsia"/>
          <w:color w:val="303030"/>
        </w:rPr>
        <w:t>步：录入答辩记录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*如果学校或院系的安排是学生录入答辩记录，则需要学生进行录入操作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948815" cy="1125855"/>
            <wp:effectExtent l="76200" t="57150" r="70485" b="55245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004998" cy="1158265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*若学生无须录入答辩记录，则只需要进行“查看”即可</w:t>
      </w:r>
    </w:p>
    <w:p>
      <w:pPr>
        <w:pStyle w:val="3"/>
      </w:pPr>
      <w:bookmarkStart w:id="20" w:name="_Toc460"/>
      <w:r>
        <w:t>2.8查看成绩</w:t>
      </w:r>
      <w:bookmarkEnd w:id="20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*学生能否查看成绩，是由学校管理员设定的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hint="eastAsia" w:asciiTheme="minorEastAsia" w:hAnsiTheme="minorEastAsia"/>
          <w:color w:val="303030"/>
        </w:rPr>
        <w:t>步：选择“评审答辩和成绩管理-查看成绩”打开页面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1640205" cy="1217295"/>
            <wp:effectExtent l="57150" t="57150" r="55245" b="5905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64600" cy="1235027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：根据可查看成绩的权限，进行操作</w:t>
      </w:r>
    </w:p>
    <w:p>
      <w:pPr>
        <w:pStyle w:val="3"/>
      </w:pPr>
      <w:bookmarkStart w:id="21" w:name="_Toc9851"/>
      <w:r>
        <w:rPr>
          <w:rFonts w:hint="eastAsia"/>
        </w:rPr>
        <w:t>2</w:t>
      </w:r>
      <w:r>
        <w:t>.9导出文档</w:t>
      </w:r>
      <w:bookmarkEnd w:id="21"/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*若配置了各类导出文档，学生可以选择导出</w:t>
      </w:r>
    </w:p>
    <w:p>
      <w:pPr>
        <w:spacing w:line="276" w:lineRule="auto"/>
        <w:ind w:firstLine="420" w:firstLineChars="200"/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第1步</w:t>
      </w:r>
      <w:r>
        <w:rPr>
          <w:rFonts w:hint="eastAsia" w:asciiTheme="minorEastAsia" w:hAnsiTheme="minorEastAsia"/>
          <w:color w:val="303030"/>
        </w:rPr>
        <w:t>：在学生首页，点击“导出全部过程文档”或“导出已配置的文档”提交导出任务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4440555" cy="687070"/>
            <wp:effectExtent l="76200" t="57150" r="93345" b="5588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73368" cy="692602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第2步</w:t>
      </w:r>
      <w:r>
        <w:rPr>
          <w:rFonts w:hint="eastAsia" w:asciiTheme="minorEastAsia" w:hAnsiTheme="minorEastAsia"/>
          <w:color w:val="303030"/>
        </w:rPr>
        <w:t>：若选择“导出已配置的文档”，需要选择导出的是哪一类文档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2200275" cy="954405"/>
            <wp:effectExtent l="57150" t="57150" r="66675" b="552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23458" cy="96503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第3步</w:t>
      </w:r>
      <w:r>
        <w:rPr>
          <w:rFonts w:hint="eastAsia" w:asciiTheme="minorEastAsia" w:hAnsiTheme="minorEastAsia"/>
          <w:color w:val="303030"/>
        </w:rPr>
        <w:t>：选定提交后，等待后台处理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*该过程可能需要一段时间，选择的数据越多，所需时间越长；请耐心等待后台处理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FF0000"/>
        </w:rPr>
        <w:t>★</w:t>
      </w:r>
      <w:r>
        <w:rPr>
          <w:rFonts w:asciiTheme="minorEastAsia" w:hAnsiTheme="minorEastAsia"/>
          <w:color w:val="303030"/>
        </w:rPr>
        <w:t>第4步</w:t>
      </w:r>
      <w:r>
        <w:rPr>
          <w:rFonts w:hint="eastAsia" w:asciiTheme="minorEastAsia" w:hAnsiTheme="minorEastAsia"/>
          <w:color w:val="303030"/>
        </w:rPr>
        <w:t>：后台处理完成后，点击“下载已导出的文档”，在弹框中点击“下载”按钮，即可将该文件下载到本地</w:t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drawing>
          <wp:inline distT="0" distB="0" distL="0" distR="0">
            <wp:extent cx="3975100" cy="659765"/>
            <wp:effectExtent l="95250" t="57150" r="101600" b="64135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15371" cy="683253"/>
                    </a:xfrm>
                    <a:prstGeom prst="rect">
                      <a:avLst/>
                    </a:prstGeom>
                    <a:effectLst>
                      <a:outerShdw blurRad="381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420" w:firstLineChars="200"/>
        <w:rPr>
          <w:rFonts w:asciiTheme="minorEastAsia" w:hAnsiTheme="minorEastAsia"/>
          <w:color w:val="303030"/>
        </w:rPr>
      </w:pPr>
      <w:r>
        <w:rPr>
          <w:rFonts w:hint="eastAsia" w:asciiTheme="minorEastAsia" w:hAnsiTheme="minorEastAsia"/>
          <w:color w:val="303030"/>
        </w:rPr>
        <w:t>*下载有效期为2</w:t>
      </w:r>
      <w:r>
        <w:rPr>
          <w:rFonts w:asciiTheme="minorEastAsia" w:hAnsiTheme="minorEastAsia"/>
          <w:color w:val="303030"/>
        </w:rPr>
        <w:t>4个小时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E03DD"/>
    <w:multiLevelType w:val="multilevel"/>
    <w:tmpl w:val="2CCE03DD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1">
    <w:nsid w:val="3CFB2029"/>
    <w:multiLevelType w:val="multilevel"/>
    <w:tmpl w:val="3CFB2029"/>
    <w:lvl w:ilvl="0" w:tentative="0">
      <w:start w:val="1"/>
      <w:numFmt w:val="decimal"/>
      <w:lvlText w:val="（%1）"/>
      <w:lvlJc w:val="left"/>
      <w:pPr>
        <w:ind w:left="1280" w:hanging="720"/>
      </w:pPr>
      <w:rPr>
        <w:rFonts w:hint="eastAsia"/>
        <w:b/>
      </w:rPr>
    </w:lvl>
    <w:lvl w:ilvl="1" w:tentative="0">
      <w:start w:val="1"/>
      <w:numFmt w:val="lowerLetter"/>
      <w:lvlText w:val="%2)"/>
      <w:lvlJc w:val="left"/>
      <w:pPr>
        <w:ind w:left="1520" w:hanging="480"/>
      </w:pPr>
    </w:lvl>
    <w:lvl w:ilvl="2" w:tentative="0">
      <w:start w:val="1"/>
      <w:numFmt w:val="lowerRoman"/>
      <w:lvlText w:val="%3."/>
      <w:lvlJc w:val="right"/>
      <w:pPr>
        <w:ind w:left="2000" w:hanging="480"/>
      </w:pPr>
    </w:lvl>
    <w:lvl w:ilvl="3" w:tentative="0">
      <w:start w:val="1"/>
      <w:numFmt w:val="decimal"/>
      <w:lvlText w:val="%4."/>
      <w:lvlJc w:val="left"/>
      <w:pPr>
        <w:ind w:left="2480" w:hanging="480"/>
      </w:pPr>
    </w:lvl>
    <w:lvl w:ilvl="4" w:tentative="0">
      <w:start w:val="1"/>
      <w:numFmt w:val="lowerLetter"/>
      <w:lvlText w:val="%5)"/>
      <w:lvlJc w:val="left"/>
      <w:pPr>
        <w:ind w:left="2960" w:hanging="480"/>
      </w:pPr>
    </w:lvl>
    <w:lvl w:ilvl="5" w:tentative="0">
      <w:start w:val="1"/>
      <w:numFmt w:val="lowerRoman"/>
      <w:lvlText w:val="%6."/>
      <w:lvlJc w:val="right"/>
      <w:pPr>
        <w:ind w:left="3440" w:hanging="480"/>
      </w:pPr>
    </w:lvl>
    <w:lvl w:ilvl="6" w:tentative="0">
      <w:start w:val="1"/>
      <w:numFmt w:val="decimal"/>
      <w:lvlText w:val="%7."/>
      <w:lvlJc w:val="left"/>
      <w:pPr>
        <w:ind w:left="3920" w:hanging="480"/>
      </w:pPr>
    </w:lvl>
    <w:lvl w:ilvl="7" w:tentative="0">
      <w:start w:val="1"/>
      <w:numFmt w:val="lowerLetter"/>
      <w:lvlText w:val="%8)"/>
      <w:lvlJc w:val="left"/>
      <w:pPr>
        <w:ind w:left="4400" w:hanging="480"/>
      </w:pPr>
    </w:lvl>
    <w:lvl w:ilvl="8" w:tentative="0">
      <w:start w:val="1"/>
      <w:numFmt w:val="lowerRoman"/>
      <w:lvlText w:val="%9."/>
      <w:lvlJc w:val="right"/>
      <w:pPr>
        <w:ind w:left="4880" w:hanging="480"/>
      </w:pPr>
    </w:lvl>
  </w:abstractNum>
  <w:abstractNum w:abstractNumId="2">
    <w:nsid w:val="5A58A0B2"/>
    <w:multiLevelType w:val="singleLevel"/>
    <w:tmpl w:val="5A58A0B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DB"/>
    <w:rsid w:val="0000196F"/>
    <w:rsid w:val="0000203D"/>
    <w:rsid w:val="000038AB"/>
    <w:rsid w:val="00006015"/>
    <w:rsid w:val="00006180"/>
    <w:rsid w:val="000134B2"/>
    <w:rsid w:val="00013743"/>
    <w:rsid w:val="000138AE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9590A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591C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478DE"/>
    <w:rsid w:val="002501B5"/>
    <w:rsid w:val="00250C8B"/>
    <w:rsid w:val="002512C2"/>
    <w:rsid w:val="00251872"/>
    <w:rsid w:val="00252E7C"/>
    <w:rsid w:val="00254F81"/>
    <w:rsid w:val="00254F8A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5E87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669B3"/>
    <w:rsid w:val="00470BAC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D78D2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079FA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67A9E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6B9"/>
    <w:rsid w:val="008D3166"/>
    <w:rsid w:val="008D3772"/>
    <w:rsid w:val="008D4AD0"/>
    <w:rsid w:val="008D6ECF"/>
    <w:rsid w:val="008D7743"/>
    <w:rsid w:val="008D7851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2346"/>
    <w:rsid w:val="009150B2"/>
    <w:rsid w:val="00915E04"/>
    <w:rsid w:val="00916C6A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15AE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6084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A26"/>
    <w:rsid w:val="00C30354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1A3B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DF6D38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1167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0CCE0BC4"/>
    <w:rsid w:val="3A732AF9"/>
    <w:rsid w:val="560F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100" w:beforeLines="100"/>
      <w:outlineLvl w:val="0"/>
    </w:pPr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outlineLvl w:val="1"/>
    </w:pPr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50" w:beforeLines="50" w:after="50" w:afterLines="50"/>
      <w:outlineLvl w:val="2"/>
    </w:pPr>
    <w:rPr>
      <w:rFonts w:ascii="Times New Roman" w:hAnsi="Times New Roman" w:eastAsia="宋体"/>
      <w:b/>
      <w:bCs/>
      <w:szCs w:val="32"/>
    </w:rPr>
  </w:style>
  <w:style w:type="paragraph" w:styleId="5">
    <w:name w:val="heading 4"/>
    <w:basedOn w:val="1"/>
    <w:next w:val="1"/>
    <w:link w:val="19"/>
    <w:unhideWhenUsed/>
    <w:qFormat/>
    <w:uiPriority w:val="9"/>
    <w:pPr>
      <w:keepNext/>
      <w:keepLines/>
      <w:ind w:firstLine="200" w:firstLineChars="200"/>
      <w:outlineLvl w:val="3"/>
    </w:pPr>
    <w:rPr>
      <w:rFonts w:asciiTheme="majorHAnsi" w:hAnsiTheme="majorHAnsi" w:eastAsiaTheme="majorEastAsia" w:cstheme="majorBidi"/>
      <w:b/>
      <w:bCs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3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4">
    <w:name w:val="页眉字符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字符"/>
    <w:basedOn w:val="12"/>
    <w:link w:val="7"/>
    <w:qFormat/>
    <w:uiPriority w:val="99"/>
    <w:rPr>
      <w:sz w:val="18"/>
      <w:szCs w:val="18"/>
    </w:rPr>
  </w:style>
  <w:style w:type="character" w:customStyle="1" w:styleId="16">
    <w:name w:val="标题 1字符"/>
    <w:basedOn w:val="12"/>
    <w:link w:val="2"/>
    <w:qFormat/>
    <w:uiPriority w:val="9"/>
    <w:rPr>
      <w:rFonts w:eastAsia="微软雅黑"/>
      <w:b/>
      <w:bCs/>
      <w:color w:val="ED7D31" w:themeColor="accent2"/>
      <w:kern w:val="44"/>
      <w:sz w:val="24"/>
      <w:szCs w:val="44"/>
      <w14:textFill>
        <w14:solidFill>
          <w14:schemeClr w14:val="accent2"/>
        </w14:solidFill>
      </w14:textFill>
    </w:rPr>
  </w:style>
  <w:style w:type="character" w:customStyle="1" w:styleId="17">
    <w:name w:val="标题 2字符"/>
    <w:basedOn w:val="12"/>
    <w:link w:val="3"/>
    <w:qFormat/>
    <w:uiPriority w:val="9"/>
    <w:rPr>
      <w:rFonts w:eastAsia="微软雅黑" w:asciiTheme="majorHAnsi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18">
    <w:name w:val="标题 3字符"/>
    <w:basedOn w:val="12"/>
    <w:link w:val="4"/>
    <w:qFormat/>
    <w:uiPriority w:val="9"/>
    <w:rPr>
      <w:rFonts w:ascii="Times New Roman" w:hAnsi="Times New Roman" w:eastAsia="宋体"/>
      <w:b/>
      <w:bCs/>
      <w:szCs w:val="32"/>
    </w:rPr>
  </w:style>
  <w:style w:type="character" w:customStyle="1" w:styleId="19">
    <w:name w:val="标题 4字符"/>
    <w:basedOn w:val="12"/>
    <w:link w:val="5"/>
    <w:qFormat/>
    <w:uiPriority w:val="9"/>
    <w:rPr>
      <w:rFonts w:asciiTheme="majorHAnsi" w:hAnsiTheme="majorHAnsi" w:eastAsiaTheme="majorEastAsia" w:cstheme="majorBidi"/>
      <w:b/>
      <w:bCs/>
      <w:szCs w:val="28"/>
    </w:rPr>
  </w:style>
  <w:style w:type="paragraph" w:customStyle="1" w:styleId="20">
    <w:name w:val="TOC Heading"/>
    <w:basedOn w:val="2"/>
    <w:next w:val="1"/>
    <w:unhideWhenUsed/>
    <w:qFormat/>
    <w:uiPriority w:val="39"/>
    <w:pPr>
      <w:widowControl/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8" Type="http://schemas.openxmlformats.org/officeDocument/2006/relationships/fontTable" Target="fontTable.xml"/><Relationship Id="rId47" Type="http://schemas.openxmlformats.org/officeDocument/2006/relationships/customXml" Target="../customXml/item2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4409C6-6DAE-A843-B05A-C619BC2C0F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858</Words>
  <Characters>4897</Characters>
  <Lines>40</Lines>
  <Paragraphs>11</Paragraphs>
  <TotalTime>2</TotalTime>
  <ScaleCrop>false</ScaleCrop>
  <LinksUpToDate>false</LinksUpToDate>
  <CharactersWithSpaces>5744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2019-01-13T09:46:00Z</dcterms:created>
  <dc:creator>shenyanhbxf@126.com</dc:creator>
  <cp:lastModifiedBy>XZQ</cp:lastModifiedBy>
  <dcterms:modified xsi:type="dcterms:W3CDTF">2019-12-30T01:05:18Z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